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72" w:rsidRDefault="00CF23C9" w:rsidP="003477E4">
      <w:pPr>
        <w:rPr>
          <w:rFonts w:ascii="標楷體" w:eastAsia="新細明體" w:hAnsi="標楷體" w:cs="標楷體"/>
          <w:b/>
          <w:sz w:val="30"/>
          <w:szCs w:val="30"/>
          <w:lang w:eastAsia="zh-TW"/>
        </w:rPr>
      </w:pPr>
      <w:r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註</w:t>
      </w:r>
      <w:r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2</w:t>
      </w:r>
      <w:r w:rsidR="003F7A72"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:</w:t>
      </w:r>
    </w:p>
    <w:p w:rsidR="00593D00" w:rsidRPr="003477E4" w:rsidRDefault="00DA7D1D" w:rsidP="003477E4">
      <w:pPr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2015</w:t>
      </w:r>
      <w:r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年</w:t>
      </w:r>
      <w:r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3</w:t>
      </w:r>
      <w:r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月</w:t>
      </w:r>
      <w:r w:rsidR="00757BB0" w:rsidRPr="00757BB0">
        <w:rPr>
          <w:rFonts w:ascii="標楷體" w:eastAsia="新細明體" w:hAnsi="標楷體" w:cs="標楷體" w:hint="eastAsia"/>
          <w:b/>
          <w:sz w:val="30"/>
          <w:szCs w:val="30"/>
          <w:lang w:eastAsia="zh-TW"/>
        </w:rPr>
        <w:t>美國</w:t>
      </w:r>
      <w:r w:rsidR="00757BB0" w:rsidRPr="00757BB0">
        <w:rPr>
          <w:rFonts w:ascii="標楷體" w:eastAsia="新細明體" w:hAnsi="標楷體" w:cs="標楷體"/>
          <w:b/>
          <w:sz w:val="30"/>
          <w:szCs w:val="30"/>
          <w:lang w:eastAsia="zh-TW"/>
        </w:rPr>
        <w:t>FDA</w:t>
      </w:r>
      <w:r w:rsidR="00757BB0" w:rsidRPr="00757BB0">
        <w:rPr>
          <w:rFonts w:ascii="標楷體" w:eastAsia="新細明體" w:hAnsi="標楷體" w:cs="標楷體" w:hint="eastAsia"/>
          <w:sz w:val="30"/>
          <w:szCs w:val="30"/>
          <w:lang w:eastAsia="zh-TW"/>
        </w:rPr>
        <w:t>公告</w:t>
      </w:r>
      <w:r w:rsidR="00495965">
        <w:rPr>
          <w:rFonts w:ascii="標楷體" w:eastAsia="新細明體" w:hAnsi="標楷體" w:cs="標楷體" w:hint="eastAsia"/>
          <w:sz w:val="30"/>
          <w:szCs w:val="30"/>
          <w:lang w:eastAsia="zh-TW"/>
        </w:rPr>
        <w:t>核准次氯酸為高階殺菌劑</w:t>
      </w:r>
    </w:p>
    <w:p w:rsidR="00593D00" w:rsidRDefault="00757BB0">
      <w:pPr>
        <w:pStyle w:val="1"/>
        <w:widowControl/>
        <w:spacing w:before="0" w:beforeAutospacing="0" w:after="0" w:afterAutospacing="0" w:line="10" w:lineRule="atLeast"/>
        <w:rPr>
          <w:rFonts w:ascii="標楷體" w:eastAsia="標楷體" w:hAnsi="標楷體" w:cs="標楷體" w:hint="default"/>
          <w:sz w:val="30"/>
          <w:szCs w:val="30"/>
        </w:rPr>
      </w:pPr>
      <w:r w:rsidRPr="003F7A72">
        <w:rPr>
          <w:rFonts w:ascii="標楷體" w:eastAsia="標楷體" w:hAnsi="標楷體" w:cs="標楷體" w:hint="default"/>
          <w:sz w:val="30"/>
          <w:szCs w:val="30"/>
          <w:highlight w:val="yellow"/>
          <w:lang w:eastAsia="zh-TW"/>
        </w:rPr>
        <w:t xml:space="preserve">FDA-Cleared </w:t>
      </w:r>
      <w:proofErr w:type="spellStart"/>
      <w:r w:rsidRPr="003F7A72">
        <w:rPr>
          <w:rFonts w:ascii="標楷體" w:eastAsia="標楷體" w:hAnsi="標楷體" w:cs="標楷體" w:hint="default"/>
          <w:sz w:val="30"/>
          <w:szCs w:val="30"/>
          <w:highlight w:val="yellow"/>
          <w:lang w:eastAsia="zh-TW"/>
        </w:rPr>
        <w:t>Sterilants</w:t>
      </w:r>
      <w:proofErr w:type="spellEnd"/>
      <w:r w:rsidRPr="003F7A72">
        <w:rPr>
          <w:rFonts w:ascii="標楷體" w:eastAsia="標楷體" w:hAnsi="標楷體" w:cs="標楷體" w:hint="default"/>
          <w:sz w:val="30"/>
          <w:szCs w:val="30"/>
          <w:highlight w:val="yellow"/>
          <w:lang w:eastAsia="zh-TW"/>
        </w:rPr>
        <w:t xml:space="preserve"> and </w:t>
      </w:r>
      <w:r w:rsidRPr="003F7A72">
        <w:rPr>
          <w:rFonts w:ascii="標楷體" w:eastAsia="標楷體" w:hAnsi="標楷體" w:cs="標楷體" w:hint="default"/>
          <w:sz w:val="30"/>
          <w:szCs w:val="30"/>
          <w:highlight w:val="yellow"/>
          <w:u w:val="single"/>
          <w:lang w:eastAsia="zh-TW"/>
        </w:rPr>
        <w:t>High Level Disinfectants</w:t>
      </w:r>
      <w:r w:rsidRPr="003F7A72">
        <w:rPr>
          <w:rFonts w:ascii="標楷體" w:eastAsia="標楷體" w:hAnsi="標楷體" w:cs="標楷體" w:hint="default"/>
          <w:sz w:val="30"/>
          <w:szCs w:val="30"/>
          <w:highlight w:val="yellow"/>
          <w:lang w:eastAsia="zh-TW"/>
        </w:rPr>
        <w:t xml:space="preserve"> with General Claims for Processing Reusable Medical and Dental Devices - March 2015</w:t>
      </w:r>
    </w:p>
    <w:p w:rsidR="007424D3" w:rsidRDefault="007424D3">
      <w:pPr>
        <w:pStyle w:val="Web"/>
        <w:widowControl/>
        <w:shd w:val="clear" w:color="auto" w:fill="FFFFFF"/>
        <w:spacing w:before="0" w:beforeAutospacing="0" w:after="0" w:afterAutospacing="0"/>
        <w:rPr>
          <w:rFonts w:ascii="標楷體" w:eastAsia="標楷體" w:hAnsi="標楷體" w:cs="標楷體"/>
          <w:color w:val="333333"/>
          <w:sz w:val="22"/>
          <w:shd w:val="clear" w:color="auto" w:fill="FFFFFF"/>
          <w:lang w:eastAsia="zh-TW"/>
        </w:rPr>
      </w:pPr>
    </w:p>
    <w:p w:rsidR="00593D00" w:rsidRDefault="00757BB0">
      <w:pPr>
        <w:pStyle w:val="Web"/>
        <w:widowControl/>
        <w:shd w:val="clear" w:color="auto" w:fill="FFFFFF"/>
        <w:spacing w:before="0" w:beforeAutospacing="0" w:after="0" w:afterAutospacing="0"/>
        <w:rPr>
          <w:rFonts w:ascii="標楷體" w:eastAsia="標楷體" w:hAnsi="標楷體" w:cs="標楷體"/>
          <w:color w:val="333333"/>
          <w:sz w:val="22"/>
          <w:shd w:val="clear" w:color="auto" w:fill="FFFFFF"/>
          <w:lang w:eastAsia="zh-TW"/>
        </w:rPr>
      </w:pPr>
      <w:r w:rsidRPr="000D31DB">
        <w:rPr>
          <w:rFonts w:ascii="標楷體" w:eastAsia="標楷體" w:hAnsi="標楷體" w:cs="標楷體"/>
          <w:color w:val="333333"/>
          <w:sz w:val="22"/>
          <w:shd w:val="clear" w:color="auto" w:fill="FFFFFF"/>
          <w:lang w:eastAsia="zh-TW"/>
        </w:rPr>
        <w:t>Section VI. of FDA</w:t>
      </w:r>
      <w:proofErr w:type="gramStart"/>
      <w:r w:rsidRPr="000D31DB">
        <w:rPr>
          <w:rFonts w:ascii="標楷體" w:eastAsia="標楷體" w:hAnsi="標楷體" w:cs="標楷體" w:hint="eastAsia"/>
          <w:color w:val="333333"/>
          <w:sz w:val="22"/>
          <w:shd w:val="clear" w:color="auto" w:fill="FFFFFF"/>
          <w:lang w:eastAsia="zh-TW"/>
        </w:rPr>
        <w:t>’</w:t>
      </w:r>
      <w:proofErr w:type="gramEnd"/>
      <w:r w:rsidRPr="000D31DB">
        <w:rPr>
          <w:rFonts w:ascii="標楷體" w:eastAsia="標楷體" w:hAnsi="標楷體" w:cs="標楷體"/>
          <w:color w:val="333333"/>
          <w:sz w:val="22"/>
          <w:shd w:val="clear" w:color="auto" w:fill="FFFFFF"/>
          <w:lang w:eastAsia="zh-TW"/>
        </w:rPr>
        <w:t>s </w:t>
      </w:r>
      <w:hyperlink r:id="rId8" w:tgtFrame="https://www.fda.gov/medicaldevices/deviceregulationandguidance/reprocessingofreusablemedicaldevices/" w:history="1">
        <w:r w:rsidRPr="000D31DB">
          <w:rPr>
            <w:rStyle w:val="a8"/>
            <w:rFonts w:ascii="標楷體" w:eastAsia="標楷體" w:hAnsi="標楷體" w:cs="標楷體"/>
            <w:color w:val="005F9F"/>
            <w:sz w:val="22"/>
            <w:u w:val="none"/>
            <w:shd w:val="clear" w:color="auto" w:fill="FFFFFF"/>
            <w:lang w:eastAsia="zh-TW"/>
          </w:rPr>
          <w:t xml:space="preserve">Final Guidance for Industry and FDA Staff: </w:t>
        </w:r>
        <w:proofErr w:type="gramStart"/>
        <w:r w:rsidRPr="000D31DB">
          <w:rPr>
            <w:rStyle w:val="a8"/>
            <w:rFonts w:ascii="標楷體" w:eastAsia="標楷體" w:hAnsi="標楷體" w:cs="標楷體"/>
            <w:color w:val="005F9F"/>
            <w:sz w:val="22"/>
            <w:u w:val="none"/>
            <w:shd w:val="clear" w:color="auto" w:fill="FFFFFF"/>
            <w:lang w:eastAsia="zh-TW"/>
          </w:rPr>
          <w:t>Reprocessing Medical Devices in Health Care Settings: Validation Methods and Labeling</w:t>
        </w:r>
      </w:hyperlink>
      <w:r w:rsidRPr="000D31DB">
        <w:rPr>
          <w:rFonts w:ascii="標楷體" w:eastAsia="標楷體" w:hAnsi="標楷體" w:cs="標楷體"/>
          <w:color w:val="333333"/>
          <w:sz w:val="22"/>
          <w:shd w:val="clear" w:color="auto" w:fill="FFFFFF"/>
          <w:lang w:eastAsia="zh-TW"/>
        </w:rPr>
        <w:t> outlines six criterion that should be addressed in reprocessing instructions.</w:t>
      </w:r>
      <w:proofErr w:type="gramEnd"/>
      <w:r w:rsidRPr="000D31DB">
        <w:rPr>
          <w:rFonts w:ascii="標楷體" w:eastAsia="標楷體" w:hAnsi="標楷體" w:cs="標楷體"/>
          <w:color w:val="333333"/>
          <w:sz w:val="22"/>
          <w:shd w:val="clear" w:color="auto" w:fill="FFFFFF"/>
          <w:lang w:eastAsia="zh-TW"/>
        </w:rPr>
        <w:t xml:space="preserve"> Criterion 4 recommends that reprocessing instructions should include devices and accessories that are legally marketed. On this page is a table of FDA-cleared liquid chemical </w:t>
      </w:r>
      <w:proofErr w:type="spellStart"/>
      <w:r w:rsidRPr="000D31DB">
        <w:rPr>
          <w:rFonts w:ascii="標楷體" w:eastAsia="標楷體" w:hAnsi="標楷體" w:cs="標楷體"/>
          <w:color w:val="333333"/>
          <w:sz w:val="22"/>
          <w:shd w:val="clear" w:color="auto" w:fill="FFFFFF"/>
          <w:lang w:eastAsia="zh-TW"/>
        </w:rPr>
        <w:t>sterilants</w:t>
      </w:r>
      <w:proofErr w:type="spellEnd"/>
      <w:r w:rsidRPr="000D31DB">
        <w:rPr>
          <w:rFonts w:ascii="標楷體" w:eastAsia="標楷體" w:hAnsi="標楷體" w:cs="標楷體"/>
          <w:color w:val="333333"/>
          <w:sz w:val="22"/>
          <w:shd w:val="clear" w:color="auto" w:fill="FFFFFF"/>
          <w:lang w:eastAsia="zh-TW"/>
        </w:rPr>
        <w:t xml:space="preserve"> and high level disinfectants, last updated September 2015.</w:t>
      </w:r>
    </w:p>
    <w:p w:rsidR="000D31DB" w:rsidRPr="000D31DB" w:rsidRDefault="000D31DB">
      <w:pPr>
        <w:pStyle w:val="Web"/>
        <w:widowControl/>
        <w:shd w:val="clear" w:color="auto" w:fill="FFFFFF"/>
        <w:spacing w:before="0" w:beforeAutospacing="0" w:after="0" w:afterAutospacing="0"/>
        <w:rPr>
          <w:rFonts w:ascii="標楷體" w:eastAsia="標楷體" w:hAnsi="標楷體" w:cs="標楷體"/>
          <w:color w:val="333333"/>
          <w:sz w:val="22"/>
          <w:lang w:eastAsia="zh-TW"/>
        </w:rPr>
      </w:pPr>
    </w:p>
    <w:tbl>
      <w:tblPr>
        <w:tblW w:w="8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2336"/>
        <w:gridCol w:w="1994"/>
        <w:gridCol w:w="2757"/>
      </w:tblGrid>
      <w:tr w:rsidR="00593D00" w:rsidRPr="000D31DB" w:rsidTr="000D31DB">
        <w:trPr>
          <w:tblHeader/>
        </w:trPr>
        <w:tc>
          <w:tcPr>
            <w:tcW w:w="1468" w:type="dxa"/>
            <w:tcBorders>
              <w:top w:val="nil"/>
              <w:bottom w:val="single" w:sz="8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 w:rsidR="00593D00" w:rsidRPr="000D31DB" w:rsidRDefault="00757BB0">
            <w:pPr>
              <w:widowControl/>
              <w:spacing w:line="14" w:lineRule="atLeast"/>
              <w:textAlignment w:val="bottom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D31DB">
              <w:rPr>
                <w:rStyle w:val="ab"/>
                <w:rFonts w:ascii="標楷體" w:eastAsia="標楷體" w:hAnsi="標楷體" w:cs="標楷體"/>
                <w:sz w:val="20"/>
                <w:szCs w:val="20"/>
                <w:lang w:eastAsia="zh-TW"/>
              </w:rPr>
              <w:t>Manufacturer</w:t>
            </w:r>
          </w:p>
        </w:tc>
        <w:tc>
          <w:tcPr>
            <w:tcW w:w="2336" w:type="dxa"/>
            <w:tcBorders>
              <w:top w:val="nil"/>
              <w:bottom w:val="single" w:sz="8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 w:rsidR="00593D00" w:rsidRPr="000D31DB" w:rsidRDefault="00757BB0">
            <w:pPr>
              <w:widowControl/>
              <w:spacing w:line="14" w:lineRule="atLeast"/>
              <w:textAlignment w:val="bottom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D31DB">
              <w:rPr>
                <w:rStyle w:val="ab"/>
                <w:rFonts w:ascii="標楷體" w:eastAsia="標楷體" w:hAnsi="標楷體" w:cs="標楷體"/>
                <w:sz w:val="20"/>
                <w:szCs w:val="20"/>
                <w:lang w:eastAsia="zh-TW"/>
              </w:rPr>
              <w:t>Active Ingredient(s)</w:t>
            </w:r>
          </w:p>
        </w:tc>
        <w:tc>
          <w:tcPr>
            <w:tcW w:w="1994" w:type="dxa"/>
            <w:tcBorders>
              <w:top w:val="nil"/>
              <w:bottom w:val="single" w:sz="8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 w:rsidR="00593D00" w:rsidRPr="000D31DB" w:rsidRDefault="00757BB0" w:rsidP="00757BB0">
            <w:pPr>
              <w:widowControl/>
              <w:spacing w:line="14" w:lineRule="atLeast"/>
              <w:jc w:val="center"/>
              <w:textAlignment w:val="bottom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proofErr w:type="spellStart"/>
            <w:r w:rsidRPr="000D31DB">
              <w:rPr>
                <w:rStyle w:val="ab"/>
                <w:rFonts w:ascii="標楷體" w:eastAsia="標楷體" w:hAnsi="標楷體" w:cs="標楷體"/>
                <w:sz w:val="20"/>
                <w:szCs w:val="20"/>
                <w:lang w:eastAsia="zh-TW"/>
              </w:rPr>
              <w:t>Sterilant</w:t>
            </w:r>
            <w:proofErr w:type="spellEnd"/>
            <w:r w:rsidRPr="000D31DB">
              <w:rPr>
                <w:rStyle w:val="ab"/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Contact Conditions</w:t>
            </w:r>
          </w:p>
        </w:tc>
        <w:tc>
          <w:tcPr>
            <w:tcW w:w="2757" w:type="dxa"/>
            <w:tcBorders>
              <w:top w:val="nil"/>
              <w:bottom w:val="single" w:sz="8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 w:rsidR="00593D00" w:rsidRPr="000D31DB" w:rsidRDefault="00757BB0" w:rsidP="00757BB0">
            <w:pPr>
              <w:widowControl/>
              <w:spacing w:line="14" w:lineRule="atLeast"/>
              <w:jc w:val="center"/>
              <w:textAlignment w:val="bottom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D31DB">
              <w:rPr>
                <w:rStyle w:val="ab"/>
                <w:rFonts w:ascii="標楷體" w:eastAsia="標楷體" w:hAnsi="標楷體" w:cs="標楷體"/>
                <w:sz w:val="20"/>
                <w:szCs w:val="20"/>
                <w:lang w:eastAsia="zh-TW"/>
              </w:rPr>
              <w:t>High Level</w:t>
            </w:r>
            <w:r w:rsidR="00AC7801" w:rsidRPr="000D31DB">
              <w:rPr>
                <w:rStyle w:val="ab"/>
                <w:rFonts w:ascii="標楷體" w:eastAsia="標楷體" w:hAnsi="標楷體" w:cs="標楷體" w:hint="eastAsia"/>
                <w:sz w:val="20"/>
                <w:szCs w:val="20"/>
                <w:lang w:eastAsia="zh-CN"/>
              </w:rPr>
              <w:br/>
            </w:r>
            <w:r w:rsidRPr="000D31DB">
              <w:rPr>
                <w:rStyle w:val="ab"/>
                <w:rFonts w:ascii="標楷體" w:eastAsia="標楷體" w:hAnsi="標楷體" w:cs="標楷體"/>
                <w:sz w:val="20"/>
                <w:szCs w:val="20"/>
                <w:lang w:eastAsia="zh-TW"/>
              </w:rPr>
              <w:t>Disinfectant Contact Conditions</w:t>
            </w:r>
          </w:p>
        </w:tc>
      </w:tr>
      <w:tr w:rsidR="00593D00" w:rsidRPr="000D31DB" w:rsidTr="000D31DB">
        <w:tc>
          <w:tcPr>
            <w:tcW w:w="8555" w:type="dxa"/>
            <w:gridSpan w:val="4"/>
            <w:tcBorders>
              <w:top w:val="single" w:sz="4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Pr="000D31DB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31DB">
              <w:rPr>
                <w:rStyle w:val="ab"/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K930284 </w:t>
            </w:r>
            <w:proofErr w:type="spellStart"/>
            <w:r w:rsidRPr="000D31DB">
              <w:rPr>
                <w:rStyle w:val="ab"/>
                <w:rFonts w:ascii="標楷體" w:eastAsia="標楷體" w:hAnsi="標楷體" w:cs="標楷體"/>
                <w:sz w:val="24"/>
                <w:szCs w:val="24"/>
                <w:lang w:eastAsia="zh-TW"/>
              </w:rPr>
              <w:t>Metricide</w:t>
            </w:r>
            <w:proofErr w:type="spellEnd"/>
            <w:r w:rsidRPr="000D31DB">
              <w:rPr>
                <w:rStyle w:val="ab"/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Activated </w:t>
            </w:r>
            <w:proofErr w:type="spellStart"/>
            <w:r w:rsidRPr="000D31DB">
              <w:rPr>
                <w:rStyle w:val="ab"/>
                <w:rFonts w:ascii="標楷體" w:eastAsia="標楷體" w:hAnsi="標楷體" w:cs="標楷體"/>
                <w:sz w:val="24"/>
                <w:szCs w:val="24"/>
                <w:lang w:eastAsia="zh-TW"/>
              </w:rPr>
              <w:t>Dialdehyde</w:t>
            </w:r>
            <w:proofErr w:type="spellEnd"/>
            <w:r w:rsidRPr="000D31DB">
              <w:rPr>
                <w:rStyle w:val="ab"/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Solution</w:t>
            </w:r>
          </w:p>
        </w:tc>
      </w:tr>
      <w:tr w:rsidR="00593D00" w:rsidRPr="000D31DB" w:rsidTr="000D31DB">
        <w:tc>
          <w:tcPr>
            <w:tcW w:w="1468" w:type="dxa"/>
            <w:tcBorders>
              <w:top w:val="single" w:sz="4" w:space="0" w:color="DDDDDD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Pr="000D31DB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</w:rPr>
            </w:pPr>
            <w:proofErr w:type="spellStart"/>
            <w:r w:rsidRPr="000D31DB">
              <w:rPr>
                <w:rFonts w:ascii="標楷體" w:eastAsia="標楷體" w:hAnsi="標楷體" w:cs="標楷體"/>
                <w:lang w:eastAsia="zh-TW"/>
              </w:rPr>
              <w:t>Sterilox</w:t>
            </w:r>
            <w:proofErr w:type="spellEnd"/>
            <w:r w:rsidRPr="000D31DB">
              <w:rPr>
                <w:rFonts w:ascii="標楷體" w:eastAsia="標楷體" w:hAnsi="標楷體" w:cs="標楷體"/>
                <w:lang w:eastAsia="zh-TW"/>
              </w:rPr>
              <w:t>, Technologies, Inc.</w:t>
            </w:r>
          </w:p>
        </w:tc>
        <w:tc>
          <w:tcPr>
            <w:tcW w:w="2336" w:type="dxa"/>
            <w:tcBorders>
              <w:top w:val="single" w:sz="4" w:space="0" w:color="DDDDDD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Pr="000D31DB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</w:rPr>
            </w:pPr>
            <w:proofErr w:type="spellStart"/>
            <w:r w:rsidRPr="000D31DB">
              <w:rPr>
                <w:rStyle w:val="ab"/>
                <w:rFonts w:ascii="標楷體" w:eastAsia="標楷體" w:hAnsi="標楷體" w:cs="標楷體"/>
                <w:lang w:eastAsia="zh-TW"/>
              </w:rPr>
              <w:t>Hypochlorous</w:t>
            </w:r>
            <w:proofErr w:type="spellEnd"/>
            <w:r w:rsidRPr="000D31DB">
              <w:rPr>
                <w:rStyle w:val="ab"/>
                <w:rFonts w:ascii="標楷體" w:eastAsia="標楷體" w:hAnsi="標楷體" w:cs="標楷體"/>
                <w:lang w:eastAsia="zh-TW"/>
              </w:rPr>
              <w:t xml:space="preserve"> acid/hypochlorite</w:t>
            </w:r>
            <w:r w:rsidR="00AC7801" w:rsidRPr="000D31DB">
              <w:rPr>
                <w:rStyle w:val="ab"/>
                <w:rFonts w:ascii="標楷體" w:eastAsia="標楷體" w:hAnsi="標楷體" w:cs="標楷體" w:hint="eastAsia"/>
                <w:lang w:eastAsia="zh-CN"/>
              </w:rPr>
              <w:br/>
            </w:r>
            <w:r w:rsidRPr="000D31DB">
              <w:rPr>
                <w:rFonts w:ascii="標楷體" w:eastAsia="標楷體" w:hAnsi="標楷體" w:cs="標楷體"/>
                <w:lang w:eastAsia="zh-TW"/>
              </w:rPr>
              <w:t xml:space="preserve">400-450 </w:t>
            </w:r>
            <w:proofErr w:type="spellStart"/>
            <w:r w:rsidRPr="000D31DB">
              <w:rPr>
                <w:rFonts w:ascii="標楷體" w:eastAsia="標楷體" w:hAnsi="標楷體" w:cs="標楷體"/>
                <w:lang w:eastAsia="zh-TW"/>
              </w:rPr>
              <w:t>ppm</w:t>
            </w:r>
            <w:proofErr w:type="spellEnd"/>
            <w:r w:rsidRPr="000D31DB">
              <w:rPr>
                <w:rFonts w:ascii="標楷體" w:eastAsia="標楷體" w:hAnsi="標楷體" w:cs="標楷體"/>
                <w:lang w:eastAsia="zh-TW"/>
              </w:rPr>
              <w:t xml:space="preserve"> Active free chlorine</w:t>
            </w:r>
          </w:p>
        </w:tc>
        <w:tc>
          <w:tcPr>
            <w:tcW w:w="1994" w:type="dxa"/>
            <w:tcBorders>
              <w:top w:val="single" w:sz="4" w:space="0" w:color="DDDDDD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Pr="000D31DB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</w:rPr>
            </w:pPr>
            <w:r w:rsidRPr="000D31DB">
              <w:rPr>
                <w:rStyle w:val="ab"/>
                <w:rFonts w:ascii="標楷體" w:eastAsia="標楷體" w:hAnsi="標楷體" w:cs="標楷體"/>
                <w:lang w:eastAsia="zh-TW"/>
              </w:rPr>
              <w:t>No indication for device sterilization.</w:t>
            </w:r>
            <w:r w:rsidR="00AC7801" w:rsidRPr="000D31DB">
              <w:rPr>
                <w:rStyle w:val="ab"/>
                <w:rFonts w:ascii="標楷體" w:eastAsia="標楷體" w:hAnsi="標楷體" w:cs="標楷體" w:hint="eastAsia"/>
                <w:lang w:eastAsia="zh-CN"/>
              </w:rPr>
              <w:br/>
            </w:r>
            <w:r w:rsidRPr="000D31DB">
              <w:rPr>
                <w:rStyle w:val="aa"/>
                <w:rFonts w:ascii="標楷體" w:eastAsia="標楷體" w:hAnsi="標楷體" w:cs="標楷體"/>
                <w:lang w:eastAsia="zh-TW"/>
              </w:rPr>
              <w:t xml:space="preserve">Passes the Modified AOAC </w:t>
            </w:r>
            <w:proofErr w:type="spellStart"/>
            <w:r w:rsidRPr="000D31DB">
              <w:rPr>
                <w:rStyle w:val="aa"/>
                <w:rFonts w:ascii="標楷體" w:eastAsia="標楷體" w:hAnsi="標楷體" w:cs="標楷體"/>
                <w:lang w:eastAsia="zh-TW"/>
              </w:rPr>
              <w:t>Sporicidal</w:t>
            </w:r>
            <w:proofErr w:type="spellEnd"/>
            <w:r w:rsidRPr="000D31DB">
              <w:rPr>
                <w:rStyle w:val="aa"/>
                <w:rFonts w:ascii="標楷體" w:eastAsia="標楷體" w:hAnsi="標楷體" w:cs="標楷體"/>
                <w:lang w:eastAsia="zh-TW"/>
              </w:rPr>
              <w:t xml:space="preserve"> Activity Test in 32 hrs at 30 </w:t>
            </w:r>
            <w:r w:rsidRPr="000D31DB">
              <w:rPr>
                <w:rStyle w:val="aa"/>
                <w:rFonts w:ascii="標楷體" w:eastAsia="標楷體" w:hAnsi="標楷體" w:cs="標楷體" w:hint="eastAsia"/>
                <w:lang w:eastAsia="zh-TW"/>
              </w:rPr>
              <w:t>°</w:t>
            </w:r>
            <w:r w:rsidRPr="000D31DB">
              <w:rPr>
                <w:rStyle w:val="aa"/>
                <w:rFonts w:ascii="標楷體" w:eastAsia="標楷體" w:hAnsi="標楷體" w:cs="標楷體"/>
                <w:lang w:eastAsia="zh-TW"/>
              </w:rPr>
              <w:t xml:space="preserve"> C.</w:t>
            </w:r>
          </w:p>
        </w:tc>
        <w:tc>
          <w:tcPr>
            <w:tcW w:w="2757" w:type="dxa"/>
            <w:tcBorders>
              <w:top w:val="single" w:sz="4" w:space="0" w:color="DDDDDD"/>
            </w:tcBorders>
            <w:shd w:val="clear" w:color="auto" w:fill="FFFF00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Pr="000D31DB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</w:rPr>
            </w:pPr>
            <w:r w:rsidRPr="000D31DB">
              <w:rPr>
                <w:rFonts w:ascii="標楷體" w:eastAsia="標楷體" w:hAnsi="標楷體" w:cs="標楷體"/>
                <w:lang w:eastAsia="zh-TW"/>
              </w:rPr>
              <w:t>10 min at 30</w:t>
            </w:r>
            <w:r w:rsidRPr="000D31DB">
              <w:rPr>
                <w:rFonts w:ascii="標楷體" w:eastAsia="標楷體" w:hAnsi="標楷體" w:cs="標楷體" w:hint="eastAsia"/>
                <w:lang w:eastAsia="zh-TW"/>
              </w:rPr>
              <w:t>º</w:t>
            </w:r>
            <w:r w:rsidRPr="000D31DB">
              <w:rPr>
                <w:rFonts w:ascii="標楷體" w:eastAsia="標楷體" w:hAnsi="標楷體" w:cs="標楷體"/>
                <w:lang w:eastAsia="zh-TW"/>
              </w:rPr>
              <w:t>C</w:t>
            </w:r>
            <w:r w:rsidR="00AC7801" w:rsidRPr="000D31DB">
              <w:rPr>
                <w:rFonts w:ascii="標楷體" w:eastAsia="標楷體" w:hAnsi="標楷體" w:cs="標楷體" w:hint="eastAsia"/>
                <w:lang w:eastAsia="zh-CN"/>
              </w:rPr>
              <w:br/>
            </w:r>
            <w:r w:rsidRPr="000D31DB">
              <w:rPr>
                <w:rFonts w:ascii="標楷體" w:eastAsia="標楷體" w:hAnsi="標楷體" w:cs="標楷體"/>
                <w:lang w:eastAsia="zh-TW"/>
              </w:rPr>
              <w:t>Single use - generated on site</w:t>
            </w:r>
            <w:r w:rsidR="00AC7801" w:rsidRPr="000D31DB">
              <w:rPr>
                <w:rFonts w:ascii="標楷體" w:eastAsia="標楷體" w:hAnsi="標楷體" w:cs="標楷體" w:hint="eastAsia"/>
                <w:lang w:eastAsia="zh-CN"/>
              </w:rPr>
              <w:br/>
            </w:r>
            <w:r w:rsidRPr="000D31DB">
              <w:rPr>
                <w:rStyle w:val="aa"/>
                <w:rFonts w:ascii="標楷體" w:eastAsia="標楷體" w:hAnsi="標楷體" w:cs="標楷體"/>
                <w:lang w:eastAsia="zh-TW"/>
              </w:rPr>
              <w:t>Contact conditions established by simulated use testing with endoscopes.</w:t>
            </w:r>
          </w:p>
        </w:tc>
      </w:tr>
      <w:tr w:rsidR="00593D00" w:rsidTr="000D31DB">
        <w:tc>
          <w:tcPr>
            <w:tcW w:w="8555" w:type="dxa"/>
            <w:gridSpan w:val="4"/>
            <w:tcBorders>
              <w:top w:val="single" w:sz="4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Style w:val="ab"/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K060618 </w:t>
            </w:r>
            <w:proofErr w:type="spellStart"/>
            <w:r>
              <w:rPr>
                <w:rStyle w:val="ab"/>
                <w:rFonts w:ascii="標楷體" w:eastAsia="標楷體" w:hAnsi="標楷體" w:cs="標楷體"/>
                <w:sz w:val="18"/>
                <w:szCs w:val="18"/>
                <w:lang w:eastAsia="zh-TW"/>
              </w:rPr>
              <w:t>Cidex</w:t>
            </w:r>
            <w:proofErr w:type="spellEnd"/>
            <w:r>
              <w:rPr>
                <w:rStyle w:val="ab"/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 Activated </w:t>
            </w:r>
            <w:proofErr w:type="spellStart"/>
            <w:r>
              <w:rPr>
                <w:rStyle w:val="ab"/>
                <w:rFonts w:ascii="標楷體" w:eastAsia="標楷體" w:hAnsi="標楷體" w:cs="標楷體"/>
                <w:sz w:val="18"/>
                <w:szCs w:val="18"/>
                <w:lang w:eastAsia="zh-TW"/>
              </w:rPr>
              <w:t>Dialdehyde</w:t>
            </w:r>
            <w:proofErr w:type="spellEnd"/>
            <w:r>
              <w:rPr>
                <w:rStyle w:val="ab"/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 Solution</w:t>
            </w:r>
          </w:p>
        </w:tc>
      </w:tr>
      <w:tr w:rsidR="00593D00" w:rsidTr="000D31DB">
        <w:tc>
          <w:tcPr>
            <w:tcW w:w="1468" w:type="dxa"/>
            <w:tcBorders>
              <w:top w:val="single" w:sz="4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Advanced Sterilization Products</w:t>
            </w:r>
          </w:p>
        </w:tc>
        <w:tc>
          <w:tcPr>
            <w:tcW w:w="2336" w:type="dxa"/>
            <w:tcBorders>
              <w:top w:val="single" w:sz="4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2.4% </w:t>
            </w: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glutaraldehyde</w:t>
            </w:r>
            <w:proofErr w:type="spellEnd"/>
          </w:p>
        </w:tc>
        <w:tc>
          <w:tcPr>
            <w:tcW w:w="1994" w:type="dxa"/>
            <w:tcBorders>
              <w:top w:val="single" w:sz="4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10 hrs at 25 </w:t>
            </w:r>
            <w:r>
              <w:rPr>
                <w:rFonts w:ascii="標楷體" w:eastAsia="標楷體" w:hAnsi="標楷體" w:cs="標楷體" w:hint="eastAsia"/>
                <w:sz w:val="18"/>
                <w:szCs w:val="18"/>
                <w:lang w:eastAsia="zh-TW"/>
              </w:rPr>
              <w:t>°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C</w:t>
            </w:r>
            <w:r w:rsidR="00AC7801">
              <w:rPr>
                <w:rFonts w:ascii="標楷體" w:eastAsia="標楷體" w:hAnsi="標楷體" w:cs="標楷體" w:hint="eastAsia"/>
                <w:sz w:val="18"/>
                <w:szCs w:val="18"/>
                <w:lang w:eastAsia="zh-CN"/>
              </w:rPr>
              <w:br/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14 days Maximum Reuse</w:t>
            </w:r>
            <w:r w:rsidR="00AC7801">
              <w:rPr>
                <w:rFonts w:ascii="標楷體" w:eastAsia="標楷體" w:hAnsi="標楷體" w:cs="標楷體" w:hint="eastAsia"/>
                <w:sz w:val="18"/>
                <w:szCs w:val="18"/>
                <w:lang w:eastAsia="zh-CN"/>
              </w:rPr>
              <w:br/>
            </w:r>
            <w:r>
              <w:rPr>
                <w:rStyle w:val="aa"/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Contact conditions based on AOAC </w:t>
            </w:r>
            <w:proofErr w:type="spellStart"/>
            <w:r>
              <w:rPr>
                <w:rStyle w:val="aa"/>
                <w:rFonts w:ascii="標楷體" w:eastAsia="標楷體" w:hAnsi="標楷體" w:cs="標楷體"/>
                <w:sz w:val="18"/>
                <w:szCs w:val="18"/>
                <w:lang w:eastAsia="zh-TW"/>
              </w:rPr>
              <w:t>Sporicidal</w:t>
            </w:r>
            <w:proofErr w:type="spellEnd"/>
            <w:r>
              <w:rPr>
                <w:rStyle w:val="aa"/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 Activity Test and by simulated use testing with endoscopes.</w:t>
            </w:r>
          </w:p>
        </w:tc>
        <w:tc>
          <w:tcPr>
            <w:tcW w:w="2757" w:type="dxa"/>
            <w:tcBorders>
              <w:top w:val="single" w:sz="4" w:space="0" w:color="DDDDDD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93D00" w:rsidRDefault="00757BB0">
            <w:pPr>
              <w:widowControl/>
              <w:spacing w:line="14" w:lineRule="atLeast"/>
              <w:textAlignment w:val="top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45 min at 25 </w:t>
            </w:r>
            <w:r>
              <w:rPr>
                <w:rFonts w:ascii="標楷體" w:eastAsia="標楷體" w:hAnsi="標楷體" w:cs="標楷體" w:hint="eastAsia"/>
                <w:sz w:val="18"/>
                <w:szCs w:val="18"/>
                <w:lang w:eastAsia="zh-TW"/>
              </w:rPr>
              <w:t>°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C</w:t>
            </w:r>
            <w:r w:rsidR="00AC7801">
              <w:rPr>
                <w:rFonts w:ascii="標楷體" w:eastAsia="標楷體" w:hAnsi="標楷體" w:cs="標楷體" w:hint="eastAsia"/>
                <w:sz w:val="18"/>
                <w:szCs w:val="18"/>
                <w:lang w:eastAsia="zh-CN"/>
              </w:rPr>
              <w:br/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14 days Maximum Reuse </w:t>
            </w:r>
            <w:r>
              <w:rPr>
                <w:rStyle w:val="aa"/>
                <w:rFonts w:ascii="標楷體" w:eastAsia="標楷體" w:hAnsi="標楷體" w:cs="標楷體"/>
                <w:sz w:val="18"/>
                <w:szCs w:val="18"/>
                <w:lang w:eastAsia="zh-TW"/>
              </w:rPr>
              <w:t>Contact conditions established by simulated use testing with endoscopes.</w:t>
            </w:r>
          </w:p>
        </w:tc>
      </w:tr>
    </w:tbl>
    <w:p w:rsidR="008F17CF" w:rsidRPr="00B25453" w:rsidRDefault="00B25453" w:rsidP="00B25453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EastAsia" w:hint="eastAsia"/>
          <w:lang w:eastAsia="zh-TW"/>
        </w:rPr>
        <w:br/>
      </w:r>
      <w:r w:rsidRPr="00B25453">
        <w:rPr>
          <w:rFonts w:eastAsiaTheme="minorEastAsia" w:hint="eastAsia"/>
          <w:b/>
          <w:color w:val="70AD47" w:themeColor="accent6"/>
          <w:sz w:val="20"/>
          <w:szCs w:val="20"/>
          <w:lang w:eastAsia="zh-TW"/>
        </w:rPr>
        <w:t>資料來源</w:t>
      </w:r>
      <w:r w:rsidRPr="00B25453">
        <w:rPr>
          <w:rFonts w:eastAsiaTheme="minorEastAsia" w:hint="eastAsia"/>
          <w:b/>
          <w:color w:val="70AD47" w:themeColor="accent6"/>
          <w:sz w:val="20"/>
          <w:szCs w:val="20"/>
          <w:lang w:eastAsia="zh-TW"/>
        </w:rPr>
        <w:t>: FDA</w:t>
      </w:r>
      <w:r w:rsidRPr="00B25453">
        <w:rPr>
          <w:rFonts w:eastAsiaTheme="minorEastAsia" w:hint="eastAsia"/>
          <w:b/>
          <w:color w:val="70AD47" w:themeColor="accent6"/>
          <w:sz w:val="20"/>
          <w:szCs w:val="20"/>
          <w:lang w:eastAsia="zh-TW"/>
        </w:rPr>
        <w:t>網頁</w:t>
      </w:r>
      <w:r w:rsidRPr="00B25453">
        <w:rPr>
          <w:rFonts w:eastAsiaTheme="minorEastAsia"/>
          <w:b/>
          <w:color w:val="70AD47" w:themeColor="accent6"/>
          <w:sz w:val="20"/>
          <w:szCs w:val="20"/>
          <w:lang w:eastAsia="zh-TW"/>
        </w:rPr>
        <w:br/>
      </w:r>
      <w:hyperlink r:id="rId9" w:history="1">
        <w:r w:rsidRPr="00B25453">
          <w:rPr>
            <w:rStyle w:val="a8"/>
            <w:sz w:val="20"/>
            <w:szCs w:val="20"/>
            <w:lang w:eastAsia="zh-TW"/>
          </w:rPr>
          <w:t>https://www.fda.gov/medical-devices/reprocessing-reusable-medical-devices-information-manufacturers/fda-cleared-sterilants-and-high-level-disinfectants-general-claims-processing-re</w:t>
        </w:r>
        <w:r w:rsidRPr="00B25453">
          <w:rPr>
            <w:rStyle w:val="a8"/>
            <w:sz w:val="20"/>
            <w:szCs w:val="20"/>
            <w:lang w:eastAsia="zh-TW"/>
          </w:rPr>
          <w:lastRenderedPageBreak/>
          <w:t>usable-medical-and</w:t>
        </w:r>
      </w:hyperlink>
    </w:p>
    <w:sectPr w:rsidR="008F17CF" w:rsidRPr="00B25453" w:rsidSect="00593D00">
      <w:footerReference w:type="default" r:id="rId10"/>
      <w:pgSz w:w="11906" w:h="16838"/>
      <w:pgMar w:top="1220" w:right="1086" w:bottom="112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00" w:rsidRDefault="00593D00" w:rsidP="00593D00">
      <w:r>
        <w:separator/>
      </w:r>
    </w:p>
  </w:endnote>
  <w:endnote w:type="continuationSeparator" w:id="0">
    <w:p w:rsidR="00593D00" w:rsidRDefault="00593D00" w:rsidP="0059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華康中楷體">
    <w:altName w:val="微軟正黑體"/>
    <w:charset w:val="88"/>
    <w:family w:val="modern"/>
    <w:pitch w:val="default"/>
    <w:sig w:usb0="00000000" w:usb1="00000000" w:usb2="00000010" w:usb3="00000000" w:csb0="00100000" w:csb1="00000000"/>
  </w:font>
  <w:font w:name="Noto Sans CJK JP Regular">
    <w:altName w:val="Liberation Mono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00" w:rsidRDefault="008D1360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84768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AGNAKBHAIAABoEAAAO&#10;AAAAAAAAAAEAIAAAAB8BAABkcnMvZTJvRG9jLnhtbFBLBQYAAAAABgAGAFkBAACtBQAAAAA=&#10;" filled="f" stroked="f" strokeweight=".5pt">
          <v:textbox style="mso-next-textbox:#_x0000_s2049;mso-fit-shape-to-text:t" inset="0,0,0,0">
            <w:txbxContent>
              <w:p w:rsidR="00593D00" w:rsidRDefault="008D1360">
                <w:pPr>
                  <w:snapToGrid w:val="0"/>
                  <w:rPr>
                    <w:rFonts w:eastAsia="新細明體"/>
                    <w:sz w:val="18"/>
                    <w:lang w:eastAsia="zh-TW"/>
                  </w:rPr>
                </w:pPr>
                <w:r>
                  <w:rPr>
                    <w:rFonts w:eastAsia="新細明體" w:hint="eastAsia"/>
                    <w:sz w:val="18"/>
                    <w:lang w:eastAsia="zh-TW"/>
                  </w:rPr>
                  <w:fldChar w:fldCharType="begin"/>
                </w:r>
                <w:r w:rsidR="00AC7801">
                  <w:rPr>
                    <w:rFonts w:eastAsia="新細明體" w:hint="eastAsia"/>
                    <w:sz w:val="18"/>
                    <w:lang w:eastAsia="zh-TW"/>
                  </w:rPr>
                  <w:instrText xml:space="preserve"> PAGE  \* MERGEFORMAT </w:instrText>
                </w:r>
                <w:r>
                  <w:rPr>
                    <w:rFonts w:eastAsia="新細明體" w:hint="eastAsia"/>
                    <w:sz w:val="18"/>
                    <w:lang w:eastAsia="zh-TW"/>
                  </w:rPr>
                  <w:fldChar w:fldCharType="separate"/>
                </w:r>
                <w:r w:rsidR="00CF23C9" w:rsidRPr="00CF23C9">
                  <w:rPr>
                    <w:noProof/>
                  </w:rPr>
                  <w:t>1</w:t>
                </w:r>
                <w:r>
                  <w:rPr>
                    <w:rFonts w:eastAsia="新細明體" w:hint="eastAsia"/>
                    <w:sz w:val="18"/>
                    <w:lang w:eastAsia="zh-TW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00" w:rsidRDefault="00593D00" w:rsidP="00593D00">
      <w:r>
        <w:separator/>
      </w:r>
    </w:p>
  </w:footnote>
  <w:footnote w:type="continuationSeparator" w:id="0">
    <w:p w:rsidR="00593D00" w:rsidRDefault="00593D00" w:rsidP="00593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8B0113"/>
    <w:multiLevelType w:val="singleLevel"/>
    <w:tmpl w:val="898B01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2D5F93"/>
    <w:multiLevelType w:val="multilevel"/>
    <w:tmpl w:val="042D5F93"/>
    <w:lvl w:ilvl="0">
      <w:start w:val="3"/>
      <w:numFmt w:val="bullet"/>
      <w:lvlText w:val="◆"/>
      <w:lvlJc w:val="left"/>
      <w:pPr>
        <w:tabs>
          <w:tab w:val="left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5A6B33"/>
    <w:multiLevelType w:val="multilevel"/>
    <w:tmpl w:val="065A6B33"/>
    <w:lvl w:ilvl="0">
      <w:start w:val="2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3A54F9B"/>
    <w:multiLevelType w:val="multilevel"/>
    <w:tmpl w:val="13A54F9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>
    <w:nsid w:val="18BA3C0D"/>
    <w:multiLevelType w:val="multilevel"/>
    <w:tmpl w:val="18BA3C0D"/>
    <w:lvl w:ilvl="0">
      <w:start w:val="1"/>
      <w:numFmt w:val="upperLetter"/>
      <w:lvlText w:val="(%1)"/>
      <w:lvlJc w:val="left"/>
      <w:pPr>
        <w:tabs>
          <w:tab w:val="left" w:pos="839"/>
        </w:tabs>
        <w:ind w:left="839" w:hanging="480"/>
      </w:pPr>
      <w:rPr>
        <w:rFonts w:eastAsia="新細明體" w:hint="default"/>
      </w:rPr>
    </w:lvl>
    <w:lvl w:ilvl="1">
      <w:start w:val="1"/>
      <w:numFmt w:val="ideographTraditional"/>
      <w:lvlText w:val="%2、"/>
      <w:lvlJc w:val="left"/>
      <w:pPr>
        <w:tabs>
          <w:tab w:val="left" w:pos="1319"/>
        </w:tabs>
        <w:ind w:left="1319" w:hanging="480"/>
      </w:p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80"/>
      </w:pPr>
    </w:lvl>
    <w:lvl w:ilvl="3">
      <w:start w:val="1"/>
      <w:numFmt w:val="decimal"/>
      <w:lvlText w:val="%4."/>
      <w:lvlJc w:val="left"/>
      <w:pPr>
        <w:tabs>
          <w:tab w:val="left" w:pos="2279"/>
        </w:tabs>
        <w:ind w:left="2279" w:hanging="480"/>
      </w:pPr>
    </w:lvl>
    <w:lvl w:ilvl="4">
      <w:start w:val="1"/>
      <w:numFmt w:val="ideographTraditional"/>
      <w:lvlText w:val="%5、"/>
      <w:lvlJc w:val="left"/>
      <w:pPr>
        <w:tabs>
          <w:tab w:val="left" w:pos="2759"/>
        </w:tabs>
        <w:ind w:left="2759" w:hanging="480"/>
      </w:pPr>
    </w:lvl>
    <w:lvl w:ilvl="5">
      <w:start w:val="1"/>
      <w:numFmt w:val="lowerRoman"/>
      <w:lvlText w:val="%6."/>
      <w:lvlJc w:val="right"/>
      <w:pPr>
        <w:tabs>
          <w:tab w:val="left" w:pos="3239"/>
        </w:tabs>
        <w:ind w:left="3239" w:hanging="480"/>
      </w:pPr>
    </w:lvl>
    <w:lvl w:ilvl="6">
      <w:start w:val="1"/>
      <w:numFmt w:val="decimal"/>
      <w:lvlText w:val="%7."/>
      <w:lvlJc w:val="left"/>
      <w:pPr>
        <w:tabs>
          <w:tab w:val="left" w:pos="3719"/>
        </w:tabs>
        <w:ind w:left="3719" w:hanging="480"/>
      </w:pPr>
    </w:lvl>
    <w:lvl w:ilvl="7">
      <w:start w:val="1"/>
      <w:numFmt w:val="ideographTraditional"/>
      <w:lvlText w:val="%8、"/>
      <w:lvlJc w:val="left"/>
      <w:pPr>
        <w:tabs>
          <w:tab w:val="left" w:pos="4199"/>
        </w:tabs>
        <w:ind w:left="4199" w:hanging="480"/>
      </w:pPr>
    </w:lvl>
    <w:lvl w:ilvl="8">
      <w:start w:val="1"/>
      <w:numFmt w:val="lowerRoman"/>
      <w:lvlText w:val="%9."/>
      <w:lvlJc w:val="right"/>
      <w:pPr>
        <w:tabs>
          <w:tab w:val="left" w:pos="4679"/>
        </w:tabs>
        <w:ind w:left="4679" w:hanging="480"/>
      </w:pPr>
    </w:lvl>
  </w:abstractNum>
  <w:abstractNum w:abstractNumId="5">
    <w:nsid w:val="1DB723D8"/>
    <w:multiLevelType w:val="multilevel"/>
    <w:tmpl w:val="1DB723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B51FE1"/>
    <w:multiLevelType w:val="multilevel"/>
    <w:tmpl w:val="22B51FE1"/>
    <w:lvl w:ilvl="0">
      <w:numFmt w:val="bullet"/>
      <w:lvlText w:val="・"/>
      <w:lvlJc w:val="left"/>
      <w:pPr>
        <w:tabs>
          <w:tab w:val="left" w:pos="540"/>
        </w:tabs>
        <w:ind w:left="54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left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308466B2"/>
    <w:multiLevelType w:val="multilevel"/>
    <w:tmpl w:val="308466B2"/>
    <w:lvl w:ilvl="0">
      <w:start w:val="1"/>
      <w:numFmt w:val="bullet"/>
      <w:lvlText w:val="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88E52E1"/>
    <w:multiLevelType w:val="multilevel"/>
    <w:tmpl w:val="388E52E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>
    <w:nsid w:val="44B05C03"/>
    <w:multiLevelType w:val="multilevel"/>
    <w:tmpl w:val="44B05C03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0">
    <w:nsid w:val="4C4423FD"/>
    <w:multiLevelType w:val="multilevel"/>
    <w:tmpl w:val="4C4423FD"/>
    <w:lvl w:ilvl="0">
      <w:numFmt w:val="bullet"/>
      <w:lvlText w:val="‧"/>
      <w:lvlJc w:val="left"/>
      <w:pPr>
        <w:tabs>
          <w:tab w:val="left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E2C42D9"/>
    <w:multiLevelType w:val="multilevel"/>
    <w:tmpl w:val="4E2C42D9"/>
    <w:lvl w:ilvl="0">
      <w:start w:val="1"/>
      <w:numFmt w:val="bullet"/>
      <w:lvlText w:val="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3E70CB"/>
    <w:multiLevelType w:val="multilevel"/>
    <w:tmpl w:val="513E70C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>
    <w:nsid w:val="53E704C4"/>
    <w:multiLevelType w:val="multilevel"/>
    <w:tmpl w:val="53E704C4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4">
    <w:nsid w:val="5C32F6E1"/>
    <w:multiLevelType w:val="singleLevel"/>
    <w:tmpl w:val="5C32F6E1"/>
    <w:lvl w:ilvl="0">
      <w:start w:val="1"/>
      <w:numFmt w:val="decimal"/>
      <w:suff w:val="space"/>
      <w:lvlText w:val="%1."/>
      <w:lvlJc w:val="left"/>
    </w:lvl>
  </w:abstractNum>
  <w:abstractNum w:abstractNumId="15">
    <w:nsid w:val="5C3850C7"/>
    <w:multiLevelType w:val="singleLevel"/>
    <w:tmpl w:val="5C3850C7"/>
    <w:lvl w:ilvl="0">
      <w:start w:val="3"/>
      <w:numFmt w:val="chineseCounting"/>
      <w:suff w:val="nothing"/>
      <w:lvlText w:val="%1、"/>
      <w:lvlJc w:val="left"/>
    </w:lvl>
  </w:abstractNum>
  <w:abstractNum w:abstractNumId="16">
    <w:nsid w:val="5C3C41BD"/>
    <w:multiLevelType w:val="singleLevel"/>
    <w:tmpl w:val="5C3C41BD"/>
    <w:lvl w:ilvl="0">
      <w:start w:val="1"/>
      <w:numFmt w:val="chineseCounting"/>
      <w:suff w:val="nothing"/>
      <w:lvlText w:val="%1、"/>
      <w:lvlJc w:val="left"/>
    </w:lvl>
  </w:abstractNum>
  <w:abstractNum w:abstractNumId="17">
    <w:nsid w:val="5C3D4D71"/>
    <w:multiLevelType w:val="singleLevel"/>
    <w:tmpl w:val="5C3D4D71"/>
    <w:lvl w:ilvl="0">
      <w:start w:val="10"/>
      <w:numFmt w:val="chineseCounting"/>
      <w:suff w:val="nothing"/>
      <w:lvlText w:val="%1、"/>
      <w:lvlJc w:val="left"/>
    </w:lvl>
  </w:abstractNum>
  <w:abstractNum w:abstractNumId="18">
    <w:nsid w:val="5C3D557F"/>
    <w:multiLevelType w:val="singleLevel"/>
    <w:tmpl w:val="5C3D557F"/>
    <w:lvl w:ilvl="0">
      <w:start w:val="2"/>
      <w:numFmt w:val="decimal"/>
      <w:suff w:val="space"/>
      <w:lvlText w:val="(%1)"/>
      <w:lvlJc w:val="left"/>
    </w:lvl>
  </w:abstractNum>
  <w:abstractNum w:abstractNumId="19">
    <w:nsid w:val="5C3D5BE8"/>
    <w:multiLevelType w:val="multilevel"/>
    <w:tmpl w:val="5C3D5BE8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0">
    <w:nsid w:val="5F0B74D8"/>
    <w:multiLevelType w:val="multilevel"/>
    <w:tmpl w:val="5F0B74D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1">
    <w:nsid w:val="6CF1184E"/>
    <w:multiLevelType w:val="multilevel"/>
    <w:tmpl w:val="6CF1184E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2">
    <w:nsid w:val="6F6715E6"/>
    <w:multiLevelType w:val="multilevel"/>
    <w:tmpl w:val="6F6715E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  <w:color w:val="000080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3">
    <w:nsid w:val="75BA1FAB"/>
    <w:multiLevelType w:val="multilevel"/>
    <w:tmpl w:val="75BA1FAB"/>
    <w:lvl w:ilvl="0">
      <w:start w:val="1"/>
      <w:numFmt w:val="bullet"/>
      <w:lvlText w:val=""/>
      <w:lvlJc w:val="left"/>
      <w:pPr>
        <w:tabs>
          <w:tab w:val="left" w:pos="885"/>
        </w:tabs>
        <w:ind w:left="88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65"/>
        </w:tabs>
        <w:ind w:left="13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45"/>
        </w:tabs>
        <w:ind w:left="18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25"/>
        </w:tabs>
        <w:ind w:left="23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05"/>
        </w:tabs>
        <w:ind w:left="28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85"/>
        </w:tabs>
        <w:ind w:left="32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65"/>
        </w:tabs>
        <w:ind w:left="37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45"/>
        </w:tabs>
        <w:ind w:left="42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25"/>
        </w:tabs>
        <w:ind w:left="4725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1"/>
  </w:num>
  <w:num w:numId="5">
    <w:abstractNumId w:val="18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9"/>
  </w:num>
  <w:num w:numId="11">
    <w:abstractNumId w:val="5"/>
  </w:num>
  <w:num w:numId="12">
    <w:abstractNumId w:val="2"/>
  </w:num>
  <w:num w:numId="13">
    <w:abstractNumId w:val="15"/>
  </w:num>
  <w:num w:numId="14">
    <w:abstractNumId w:val="10"/>
  </w:num>
  <w:num w:numId="15">
    <w:abstractNumId w:val="22"/>
  </w:num>
  <w:num w:numId="16">
    <w:abstractNumId w:val="4"/>
  </w:num>
  <w:num w:numId="17">
    <w:abstractNumId w:val="9"/>
  </w:num>
  <w:num w:numId="18">
    <w:abstractNumId w:val="17"/>
  </w:num>
  <w:num w:numId="19">
    <w:abstractNumId w:val="20"/>
  </w:num>
  <w:num w:numId="20">
    <w:abstractNumId w:val="12"/>
  </w:num>
  <w:num w:numId="21">
    <w:abstractNumId w:val="23"/>
  </w:num>
  <w:num w:numId="22">
    <w:abstractNumId w:val="11"/>
  </w:num>
  <w:num w:numId="23">
    <w:abstractNumId w:val="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hideSpellingErrors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D31DB"/>
    <w:rsid w:val="0017190A"/>
    <w:rsid w:val="00172A27"/>
    <w:rsid w:val="001F6BAF"/>
    <w:rsid w:val="00311E7C"/>
    <w:rsid w:val="003477E4"/>
    <w:rsid w:val="003D72F3"/>
    <w:rsid w:val="003F7A72"/>
    <w:rsid w:val="00495965"/>
    <w:rsid w:val="00547C01"/>
    <w:rsid w:val="00593D00"/>
    <w:rsid w:val="00733169"/>
    <w:rsid w:val="007424D3"/>
    <w:rsid w:val="00757BB0"/>
    <w:rsid w:val="00823369"/>
    <w:rsid w:val="008A559E"/>
    <w:rsid w:val="008D1360"/>
    <w:rsid w:val="008F17CF"/>
    <w:rsid w:val="008F6967"/>
    <w:rsid w:val="00971B95"/>
    <w:rsid w:val="00AC7801"/>
    <w:rsid w:val="00B22A57"/>
    <w:rsid w:val="00B25453"/>
    <w:rsid w:val="00B642F2"/>
    <w:rsid w:val="00CC5191"/>
    <w:rsid w:val="00CD0CB2"/>
    <w:rsid w:val="00CF23C9"/>
    <w:rsid w:val="00D73C84"/>
    <w:rsid w:val="00DA7D1D"/>
    <w:rsid w:val="00E042F0"/>
    <w:rsid w:val="00ED23BD"/>
    <w:rsid w:val="00FA011C"/>
    <w:rsid w:val="00FE23AC"/>
    <w:rsid w:val="02244440"/>
    <w:rsid w:val="02265712"/>
    <w:rsid w:val="02CD716C"/>
    <w:rsid w:val="037D2263"/>
    <w:rsid w:val="03FF1783"/>
    <w:rsid w:val="08493874"/>
    <w:rsid w:val="09E26D7B"/>
    <w:rsid w:val="0AB460F5"/>
    <w:rsid w:val="0B3E1C92"/>
    <w:rsid w:val="0D18355A"/>
    <w:rsid w:val="0D3F1E3B"/>
    <w:rsid w:val="0E217289"/>
    <w:rsid w:val="11D1179B"/>
    <w:rsid w:val="13073128"/>
    <w:rsid w:val="134A790B"/>
    <w:rsid w:val="13BB5101"/>
    <w:rsid w:val="148B7C0C"/>
    <w:rsid w:val="14D33527"/>
    <w:rsid w:val="14DB604D"/>
    <w:rsid w:val="1903418E"/>
    <w:rsid w:val="1A00021F"/>
    <w:rsid w:val="1D733004"/>
    <w:rsid w:val="1E7532C3"/>
    <w:rsid w:val="1EEB31A7"/>
    <w:rsid w:val="1F812F17"/>
    <w:rsid w:val="21287FAB"/>
    <w:rsid w:val="22024AA0"/>
    <w:rsid w:val="243B178F"/>
    <w:rsid w:val="26593AB7"/>
    <w:rsid w:val="28E45D71"/>
    <w:rsid w:val="29F72204"/>
    <w:rsid w:val="2A48333C"/>
    <w:rsid w:val="2AC00076"/>
    <w:rsid w:val="2BB96ECB"/>
    <w:rsid w:val="2BFE384D"/>
    <w:rsid w:val="2C9E7489"/>
    <w:rsid w:val="31F01547"/>
    <w:rsid w:val="32D83DFE"/>
    <w:rsid w:val="366007B3"/>
    <w:rsid w:val="37B3310A"/>
    <w:rsid w:val="39064515"/>
    <w:rsid w:val="3BE962A8"/>
    <w:rsid w:val="3D636D95"/>
    <w:rsid w:val="3E14036E"/>
    <w:rsid w:val="40422D19"/>
    <w:rsid w:val="408319A1"/>
    <w:rsid w:val="41BF6B72"/>
    <w:rsid w:val="441660C6"/>
    <w:rsid w:val="454F2713"/>
    <w:rsid w:val="45CF38D6"/>
    <w:rsid w:val="4787760E"/>
    <w:rsid w:val="47A531CD"/>
    <w:rsid w:val="47BF3437"/>
    <w:rsid w:val="493657B5"/>
    <w:rsid w:val="4A1829CE"/>
    <w:rsid w:val="4B774F0A"/>
    <w:rsid w:val="4BE06583"/>
    <w:rsid w:val="4D7F376D"/>
    <w:rsid w:val="4FD01B2A"/>
    <w:rsid w:val="4FD94F03"/>
    <w:rsid w:val="52FF226C"/>
    <w:rsid w:val="536C7F07"/>
    <w:rsid w:val="55F35310"/>
    <w:rsid w:val="562410CA"/>
    <w:rsid w:val="56C26EEB"/>
    <w:rsid w:val="5783747A"/>
    <w:rsid w:val="57C9552E"/>
    <w:rsid w:val="584C0573"/>
    <w:rsid w:val="5A062607"/>
    <w:rsid w:val="5A0C27CA"/>
    <w:rsid w:val="5AF22041"/>
    <w:rsid w:val="5E1C65EA"/>
    <w:rsid w:val="5F3C1D37"/>
    <w:rsid w:val="605E7F5C"/>
    <w:rsid w:val="61083F17"/>
    <w:rsid w:val="61134E3C"/>
    <w:rsid w:val="6181295F"/>
    <w:rsid w:val="618927E6"/>
    <w:rsid w:val="61BB0888"/>
    <w:rsid w:val="667C1FD3"/>
    <w:rsid w:val="667E1F24"/>
    <w:rsid w:val="66845623"/>
    <w:rsid w:val="67134F6C"/>
    <w:rsid w:val="67524BE7"/>
    <w:rsid w:val="676B3720"/>
    <w:rsid w:val="68F04BBA"/>
    <w:rsid w:val="6914049D"/>
    <w:rsid w:val="709A03CF"/>
    <w:rsid w:val="729D6F84"/>
    <w:rsid w:val="73D27091"/>
    <w:rsid w:val="74126BD1"/>
    <w:rsid w:val="76BB3EA8"/>
    <w:rsid w:val="77125678"/>
    <w:rsid w:val="7713631D"/>
    <w:rsid w:val="7758007C"/>
    <w:rsid w:val="776B3918"/>
    <w:rsid w:val="77BB5A1B"/>
    <w:rsid w:val="78A8576A"/>
    <w:rsid w:val="79480CC6"/>
    <w:rsid w:val="7A3C33A7"/>
    <w:rsid w:val="7C0B4CF1"/>
    <w:rsid w:val="7C333FB6"/>
    <w:rsid w:val="7C574A60"/>
    <w:rsid w:val="7D72372B"/>
    <w:rsid w:val="7E9C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alutation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D00"/>
    <w:pPr>
      <w:widowControl w:val="0"/>
    </w:pPr>
    <w:rPr>
      <w:rFonts w:ascii="MS Mincho" w:eastAsia="MS Mincho" w:hAnsi="MS Mincho" w:cs="MS Mincho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93D00"/>
    <w:pPr>
      <w:spacing w:before="100" w:beforeAutospacing="1" w:after="100" w:afterAutospacing="1"/>
      <w:outlineLvl w:val="0"/>
    </w:pPr>
    <w:rPr>
      <w:rFonts w:ascii="SimSun" w:eastAsia="SimSun" w:hAnsi="SimSun" w:cs="Times New Roman" w:hint="eastAsia"/>
      <w:b/>
      <w:kern w:val="44"/>
      <w:sz w:val="48"/>
      <w:szCs w:val="48"/>
      <w:lang w:eastAsia="zh-CN"/>
    </w:rPr>
  </w:style>
  <w:style w:type="paragraph" w:styleId="3">
    <w:name w:val="heading 3"/>
    <w:basedOn w:val="a"/>
    <w:next w:val="a"/>
    <w:unhideWhenUsed/>
    <w:qFormat/>
    <w:rsid w:val="00593D00"/>
    <w:pPr>
      <w:spacing w:before="100" w:beforeAutospacing="1" w:after="100" w:afterAutospacing="1"/>
      <w:outlineLvl w:val="2"/>
    </w:pPr>
    <w:rPr>
      <w:rFonts w:ascii="SimSun" w:eastAsia="SimSun" w:hAnsi="SimSun" w:cs="Times New Roman" w:hint="eastAsia"/>
      <w:b/>
      <w:sz w:val="27"/>
      <w:szCs w:val="27"/>
      <w:lang w:eastAsia="zh-CN"/>
    </w:rPr>
  </w:style>
  <w:style w:type="paragraph" w:styleId="4">
    <w:name w:val="heading 4"/>
    <w:basedOn w:val="a"/>
    <w:next w:val="a"/>
    <w:unhideWhenUsed/>
    <w:qFormat/>
    <w:rsid w:val="00593D00"/>
    <w:pPr>
      <w:spacing w:before="100" w:beforeAutospacing="1" w:after="100" w:afterAutospacing="1"/>
      <w:outlineLvl w:val="3"/>
    </w:pPr>
    <w:rPr>
      <w:rFonts w:ascii="SimSun" w:eastAsia="SimSun" w:hAnsi="SimSun" w:cs="Times New Roman" w:hint="eastAsia"/>
      <w:b/>
      <w:sz w:val="24"/>
      <w:szCs w:val="24"/>
      <w:lang w:eastAsia="zh-CN"/>
    </w:rPr>
  </w:style>
  <w:style w:type="paragraph" w:styleId="5">
    <w:name w:val="heading 5"/>
    <w:basedOn w:val="a"/>
    <w:next w:val="a"/>
    <w:unhideWhenUsed/>
    <w:qFormat/>
    <w:rsid w:val="00593D00"/>
    <w:pPr>
      <w:keepNext/>
      <w:spacing w:after="120" w:line="480" w:lineRule="exact"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qFormat/>
    <w:rsid w:val="00593D00"/>
    <w:pPr>
      <w:ind w:leftChars="133" w:left="559" w:hangingChars="100" w:hanging="280"/>
    </w:pPr>
    <w:rPr>
      <w:sz w:val="28"/>
      <w:szCs w:val="28"/>
    </w:rPr>
  </w:style>
  <w:style w:type="paragraph" w:styleId="a3">
    <w:name w:val="header"/>
    <w:basedOn w:val="a"/>
    <w:qFormat/>
    <w:rsid w:val="0059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qFormat/>
    <w:rsid w:val="00593D00"/>
    <w:pPr>
      <w:spacing w:line="400" w:lineRule="exact"/>
      <w:ind w:leftChars="-11" w:left="-11" w:hangingChars="11" w:hanging="26"/>
    </w:pPr>
    <w:rPr>
      <w:rFonts w:ascii="標楷體" w:eastAsia="標楷體" w:hAnsi="標楷體"/>
    </w:rPr>
  </w:style>
  <w:style w:type="paragraph" w:styleId="a5">
    <w:name w:val="Salutation"/>
    <w:basedOn w:val="a"/>
    <w:next w:val="a"/>
    <w:qFormat/>
    <w:rsid w:val="00593D00"/>
    <w:pPr>
      <w:adjustRightInd w:val="0"/>
      <w:spacing w:line="360" w:lineRule="atLeast"/>
      <w:textAlignment w:val="baseline"/>
    </w:pPr>
    <w:rPr>
      <w:rFonts w:ascii="華康中楷體" w:eastAsia="華康中楷體"/>
      <w:position w:val="6"/>
      <w:sz w:val="32"/>
      <w:szCs w:val="20"/>
    </w:rPr>
  </w:style>
  <w:style w:type="paragraph" w:styleId="2">
    <w:name w:val="Body Text Indent 2"/>
    <w:basedOn w:val="a"/>
    <w:qFormat/>
    <w:rsid w:val="00593D00"/>
    <w:pPr>
      <w:spacing w:line="360" w:lineRule="exact"/>
      <w:ind w:leftChars="75" w:left="195" w:firstLine="326"/>
      <w:jc w:val="both"/>
    </w:pPr>
    <w:rPr>
      <w:rFonts w:eastAsia="標楷體"/>
      <w:color w:val="000000"/>
      <w:szCs w:val="20"/>
    </w:rPr>
  </w:style>
  <w:style w:type="paragraph" w:styleId="a6">
    <w:name w:val="Body Text"/>
    <w:basedOn w:val="a"/>
    <w:qFormat/>
    <w:rsid w:val="00593D00"/>
    <w:pPr>
      <w:spacing w:line="240" w:lineRule="exact"/>
      <w:jc w:val="center"/>
    </w:pPr>
    <w:rPr>
      <w:rFonts w:eastAsia="標楷體"/>
      <w:sz w:val="20"/>
    </w:rPr>
  </w:style>
  <w:style w:type="paragraph" w:styleId="a7">
    <w:name w:val="footer"/>
    <w:basedOn w:val="a"/>
    <w:qFormat/>
    <w:rsid w:val="0059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rsid w:val="00593D0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styleId="a8">
    <w:name w:val="Hyperlink"/>
    <w:qFormat/>
    <w:rsid w:val="00593D00"/>
    <w:rPr>
      <w:color w:val="0000FF"/>
      <w:u w:val="single"/>
    </w:rPr>
  </w:style>
  <w:style w:type="character" w:styleId="a9">
    <w:name w:val="page number"/>
    <w:basedOn w:val="a0"/>
    <w:qFormat/>
    <w:rsid w:val="00593D00"/>
  </w:style>
  <w:style w:type="character" w:styleId="aa">
    <w:name w:val="Emphasis"/>
    <w:qFormat/>
    <w:rsid w:val="00593D00"/>
    <w:rPr>
      <w:i/>
    </w:rPr>
  </w:style>
  <w:style w:type="character" w:styleId="ab">
    <w:name w:val="Strong"/>
    <w:basedOn w:val="a0"/>
    <w:qFormat/>
    <w:rsid w:val="00593D00"/>
    <w:rPr>
      <w:b/>
    </w:rPr>
  </w:style>
  <w:style w:type="table" w:styleId="ac">
    <w:name w:val="Table Grid"/>
    <w:basedOn w:val="a1"/>
    <w:qFormat/>
    <w:rsid w:val="00593D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清單段落1"/>
    <w:basedOn w:val="a"/>
    <w:uiPriority w:val="34"/>
    <w:qFormat/>
    <w:rsid w:val="00593D00"/>
  </w:style>
  <w:style w:type="paragraph" w:customStyle="1" w:styleId="11">
    <w:name w:val="1."/>
    <w:basedOn w:val="a"/>
    <w:qFormat/>
    <w:rsid w:val="00593D00"/>
    <w:pPr>
      <w:snapToGrid w:val="0"/>
      <w:spacing w:line="480" w:lineRule="exact"/>
      <w:ind w:left="692" w:hanging="227"/>
      <w:jc w:val="both"/>
    </w:pPr>
    <w:rPr>
      <w:rFonts w:eastAsia="標楷體"/>
      <w:sz w:val="26"/>
      <w:szCs w:val="20"/>
    </w:rPr>
  </w:style>
  <w:style w:type="paragraph" w:customStyle="1" w:styleId="TableParagraph">
    <w:name w:val="Table Paragraph"/>
    <w:basedOn w:val="a"/>
    <w:uiPriority w:val="1"/>
    <w:qFormat/>
    <w:rsid w:val="00593D00"/>
    <w:pPr>
      <w:ind w:left="76"/>
    </w:pPr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d">
    <w:name w:val="Balloon Text"/>
    <w:basedOn w:val="a"/>
    <w:link w:val="ae"/>
    <w:rsid w:val="00AC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AC7801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downloads/MedicalDevices/DeviceRegulationandGuidance/GuidanceDocuments/UCM2530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da.gov/medical-devices/reprocessing-reusable-medical-devices-information-manufacturers/fda-cleared-sterilants-and-high-level-disinfectants-general-claims-processing-reusable-medical-a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238</Words>
  <Characters>1884</Characters>
  <Application>Microsoft Office Word</Application>
  <DocSecurity>0</DocSecurity>
  <Lines>15</Lines>
  <Paragraphs>4</Paragraphs>
  <ScaleCrop>false</ScaleCrop>
  <Company>Toshiba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2020-02-10T07:22:00Z</cp:lastPrinted>
  <dcterms:created xsi:type="dcterms:W3CDTF">2019-01-04T06:42:00Z</dcterms:created>
  <dcterms:modified xsi:type="dcterms:W3CDTF">2020-03-26T02:23:00Z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